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29" w:rsidRPr="00F90A29" w:rsidRDefault="00F90A29" w:rsidP="00F90A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0A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ИНСТРУКЦИЯ</w:t>
      </w:r>
      <w:r w:rsidRPr="00F90A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по медицинскому применению препарата</w:t>
      </w:r>
      <w:r w:rsidRPr="00F90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90A29" w:rsidRPr="00C84348" w:rsidRDefault="008B61D9" w:rsidP="00F90A29">
      <w:pPr>
        <w:spacing w:after="100" w:line="240" w:lineRule="auto"/>
        <w:outlineLvl w:val="0"/>
        <w:rPr>
          <w:rFonts w:ascii="Verdana" w:eastAsia="Times New Roman" w:hAnsi="Verdana" w:cs="Arial"/>
          <w:color w:val="3B3A2C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Arial"/>
          <w:color w:val="3B3A2C"/>
          <w:kern w:val="36"/>
          <w:sz w:val="36"/>
          <w:szCs w:val="36"/>
          <w:lang w:eastAsia="ru-RU"/>
        </w:rPr>
        <w:t>Алфупрост</w:t>
      </w:r>
      <w:r w:rsidR="00F90A29" w:rsidRPr="00C84348">
        <w:rPr>
          <w:rFonts w:ascii="Verdana" w:eastAsia="Times New Roman" w:hAnsi="Verdana" w:cs="Arial"/>
          <w:color w:val="3B3A2C"/>
          <w:kern w:val="36"/>
          <w:sz w:val="36"/>
          <w:szCs w:val="36"/>
          <w:vertAlign w:val="superscript"/>
          <w:lang w:eastAsia="ru-RU"/>
        </w:rPr>
        <w:t>®</w:t>
      </w:r>
      <w:r w:rsidR="00F90A29" w:rsidRPr="00C84348">
        <w:rPr>
          <w:rFonts w:ascii="Verdana" w:eastAsia="Times New Roman" w:hAnsi="Verdana" w:cs="Arial"/>
          <w:color w:val="3B3A2C"/>
          <w:kern w:val="36"/>
          <w:sz w:val="36"/>
          <w:szCs w:val="36"/>
          <w:lang w:eastAsia="ru-RU"/>
        </w:rPr>
        <w:t xml:space="preserve"> </w:t>
      </w:r>
      <w:r>
        <w:rPr>
          <w:rFonts w:ascii="Verdana" w:eastAsia="Times New Roman" w:hAnsi="Verdana" w:cs="Arial"/>
          <w:color w:val="3B3A2C"/>
          <w:kern w:val="36"/>
          <w:sz w:val="36"/>
          <w:szCs w:val="36"/>
          <w:lang w:eastAsia="ru-RU"/>
        </w:rPr>
        <w:t>МР</w:t>
      </w:r>
      <w:r w:rsidR="00F90A29" w:rsidRPr="00C84348">
        <w:rPr>
          <w:rFonts w:ascii="Verdana" w:eastAsia="Times New Roman" w:hAnsi="Verdana" w:cs="Arial"/>
          <w:color w:val="3B3A2C"/>
          <w:kern w:val="36"/>
          <w:sz w:val="36"/>
          <w:szCs w:val="36"/>
          <w:lang w:eastAsia="ru-RU"/>
        </w:rPr>
        <w:t xml:space="preserve"> / </w:t>
      </w:r>
      <w:r>
        <w:rPr>
          <w:rFonts w:ascii="Verdana" w:eastAsia="Times New Roman" w:hAnsi="Verdana" w:cs="Arial"/>
          <w:color w:val="3B3A2C"/>
          <w:kern w:val="36"/>
          <w:sz w:val="36"/>
          <w:szCs w:val="36"/>
          <w:lang w:val="en-US" w:eastAsia="ru-RU"/>
        </w:rPr>
        <w:t>Alfuprost</w:t>
      </w:r>
      <w:r w:rsidRPr="00C84348">
        <w:rPr>
          <w:rFonts w:ascii="Verdana" w:eastAsia="Times New Roman" w:hAnsi="Verdana" w:cs="Arial"/>
          <w:color w:val="3B3A2C"/>
          <w:kern w:val="36"/>
          <w:sz w:val="36"/>
          <w:szCs w:val="36"/>
          <w:vertAlign w:val="superscript"/>
          <w:lang w:eastAsia="ru-RU"/>
        </w:rPr>
        <w:t xml:space="preserve">® </w:t>
      </w:r>
      <w:r>
        <w:rPr>
          <w:rFonts w:ascii="Verdana" w:eastAsia="Times New Roman" w:hAnsi="Verdana" w:cs="Arial"/>
          <w:color w:val="3B3A2C"/>
          <w:kern w:val="36"/>
          <w:sz w:val="36"/>
          <w:szCs w:val="36"/>
          <w:lang w:val="en-US" w:eastAsia="ru-RU"/>
        </w:rPr>
        <w:t>MR</w:t>
      </w:r>
      <w:r w:rsidR="00F90A29" w:rsidRPr="00C84348">
        <w:rPr>
          <w:rFonts w:ascii="Verdana" w:eastAsia="Times New Roman" w:hAnsi="Verdana" w:cs="Arial"/>
          <w:color w:val="3B3A2C"/>
          <w:kern w:val="36"/>
          <w:sz w:val="36"/>
          <w:szCs w:val="36"/>
          <w:lang w:eastAsia="ru-RU"/>
        </w:rPr>
        <w:t xml:space="preserve"> </w:t>
      </w:r>
      <w:r w:rsidRPr="00C84348">
        <w:rPr>
          <w:rFonts w:ascii="Verdana" w:eastAsia="Times New Roman" w:hAnsi="Verdana" w:cs="Arial"/>
          <w:color w:val="3B3A2C"/>
          <w:kern w:val="36"/>
          <w:sz w:val="36"/>
          <w:szCs w:val="36"/>
          <w:lang w:eastAsia="ru-RU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0"/>
      </w:tblGrid>
      <w:tr w:rsidR="00F90A29" w:rsidRPr="00F90A29" w:rsidTr="00F90A2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A29" w:rsidRPr="00C84348" w:rsidRDefault="00F90A29" w:rsidP="000A5EA4">
            <w:pPr>
              <w:spacing w:after="0" w:line="283" w:lineRule="auto"/>
              <w:jc w:val="center"/>
              <w:rPr>
                <w:rFonts w:ascii="Arial" w:eastAsia="Times New Roman" w:hAnsi="Arial" w:cs="Arial"/>
                <w:noProof/>
                <w:color w:val="0DAF2E"/>
                <w:sz w:val="20"/>
                <w:szCs w:val="20"/>
                <w:lang w:eastAsia="ru-RU"/>
              </w:rPr>
            </w:pPr>
          </w:p>
          <w:p w:rsidR="00D174FD" w:rsidRPr="00550B59" w:rsidRDefault="00D174FD" w:rsidP="000A5EA4">
            <w:pPr>
              <w:spacing w:after="0" w:line="283" w:lineRule="auto"/>
              <w:jc w:val="center"/>
              <w:rPr>
                <w:noProof/>
                <w:lang w:eastAsia="ru-RU"/>
              </w:rPr>
            </w:pPr>
          </w:p>
          <w:p w:rsidR="00742B2D" w:rsidRPr="00742B2D" w:rsidRDefault="00742B2D" w:rsidP="000A5EA4">
            <w:pPr>
              <w:spacing w:after="0" w:line="283" w:lineRule="auto"/>
              <w:jc w:val="center"/>
              <w:rPr>
                <w:rFonts w:ascii="Arial" w:eastAsia="Times New Roman" w:hAnsi="Arial" w:cs="Arial"/>
                <w:noProof/>
                <w:color w:val="0DAF2E"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72000" cy="2340000"/>
                  <wp:effectExtent l="0" t="0" r="9525" b="3175"/>
                  <wp:docPr id="1" name="Рисунок 1" descr="C:\Users\AlexanderB\AppData\Local\Microsoft\Windows\Temporary Internet Files\Content.Word\Alfupros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anderB\AppData\Local\Microsoft\Windows\Temporary Internet Files\Content.Word\Alfuprost_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6" t="9526" r="12585" b="7117"/>
                          <a:stretch/>
                        </pic:blipFill>
                        <pic:spPr bwMode="auto">
                          <a:xfrm>
                            <a:off x="0" y="0"/>
                            <a:ext cx="31720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4FD" w:rsidRPr="00C84348" w:rsidRDefault="00D174FD" w:rsidP="000A5EA4">
            <w:pPr>
              <w:spacing w:after="0" w:line="283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90A29" w:rsidRPr="00D174FD" w:rsidRDefault="00F90A29" w:rsidP="000A5EA4">
            <w:pPr>
              <w:spacing w:after="0" w:line="283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0A29">
              <w:rPr>
                <w:rFonts w:ascii="Arial" w:eastAsia="Times New Roman" w:hAnsi="Arial" w:cs="Arial"/>
                <w:b/>
                <w:bCs/>
                <w:color w:val="0DAF2E"/>
                <w:sz w:val="20"/>
                <w:szCs w:val="20"/>
                <w:u w:val="single"/>
                <w:lang w:eastAsia="ru-RU"/>
              </w:rPr>
              <w:t xml:space="preserve">Досье препарата </w:t>
            </w:r>
            <w:r w:rsidR="00D174FD">
              <w:rPr>
                <w:rFonts w:ascii="Arial" w:eastAsia="Times New Roman" w:hAnsi="Arial" w:cs="Arial"/>
                <w:b/>
                <w:bCs/>
                <w:color w:val="0DAF2E"/>
                <w:sz w:val="20"/>
                <w:szCs w:val="20"/>
                <w:u w:val="single"/>
                <w:lang w:eastAsia="ru-RU"/>
              </w:rPr>
              <w:t>Алфупрост</w:t>
            </w:r>
            <w:r w:rsidR="00C84348" w:rsidRPr="00C84348">
              <w:rPr>
                <w:rFonts w:ascii="Arial" w:eastAsia="Times New Roman" w:hAnsi="Arial" w:cs="Arial"/>
                <w:b/>
                <w:bCs/>
                <w:color w:val="0DAF2E"/>
                <w:sz w:val="20"/>
                <w:szCs w:val="20"/>
                <w:u w:val="single"/>
                <w:vertAlign w:val="superscript"/>
                <w:lang w:eastAsia="ru-RU"/>
              </w:rPr>
              <w:t>®</w:t>
            </w:r>
            <w:r w:rsidR="00D174FD">
              <w:rPr>
                <w:rFonts w:ascii="Arial" w:eastAsia="Times New Roman" w:hAnsi="Arial" w:cs="Arial"/>
                <w:b/>
                <w:bCs/>
                <w:color w:val="0DAF2E"/>
                <w:sz w:val="20"/>
                <w:szCs w:val="20"/>
                <w:u w:val="single"/>
                <w:lang w:eastAsia="ru-RU"/>
              </w:rPr>
              <w:t xml:space="preserve"> МР</w:t>
            </w:r>
          </w:p>
        </w:tc>
      </w:tr>
    </w:tbl>
    <w:p w:rsidR="00F90A29" w:rsidRPr="00F90A29" w:rsidRDefault="00F90A29" w:rsidP="000A5EA4">
      <w:pPr>
        <w:spacing w:after="0" w:line="283" w:lineRule="auto"/>
        <w:outlineLvl w:val="2"/>
        <w:rPr>
          <w:rFonts w:ascii="Verdana" w:eastAsia="Times New Roman" w:hAnsi="Verdana" w:cs="Arial"/>
          <w:color w:val="3B3A2C"/>
          <w:sz w:val="24"/>
          <w:szCs w:val="24"/>
          <w:lang w:eastAsia="ru-RU"/>
        </w:rPr>
      </w:pPr>
      <w:r w:rsidRPr="00F90A29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>Регистрационный номер:</w:t>
      </w:r>
    </w:p>
    <w:p w:rsidR="00F90A29" w:rsidRPr="00F90A29" w:rsidRDefault="00D174FD" w:rsidP="000A5EA4">
      <w:pPr>
        <w:spacing w:after="0" w:line="283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ЛП</w:t>
      </w:r>
      <w:r w:rsidR="00F90A29" w:rsidRPr="00F90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N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001176-</w:t>
      </w:r>
      <w:r w:rsidR="00742B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210116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90A29" w:rsidRPr="00F90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90A29" w:rsidRPr="00F90A29" w:rsidRDefault="00F90A29" w:rsidP="000A5EA4">
      <w:pPr>
        <w:spacing w:after="0" w:line="283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0A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Торговое название:</w:t>
      </w:r>
      <w:r w:rsidRPr="00F90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B5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Алфупрост</w:t>
      </w:r>
      <w:r w:rsidRPr="00F90A2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®</w:t>
      </w:r>
      <w:r w:rsidRPr="00F90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B5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МР</w:t>
      </w:r>
      <w:r w:rsidRPr="00F90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90A29" w:rsidRPr="00F90A29" w:rsidRDefault="00F90A29" w:rsidP="000A5EA4">
      <w:pPr>
        <w:spacing w:after="0" w:line="283" w:lineRule="auto"/>
        <w:outlineLvl w:val="2"/>
        <w:rPr>
          <w:rFonts w:ascii="Verdana" w:eastAsia="Times New Roman" w:hAnsi="Verdana" w:cs="Arial"/>
          <w:color w:val="3B3A2C"/>
          <w:sz w:val="24"/>
          <w:szCs w:val="24"/>
          <w:lang w:eastAsia="ru-RU"/>
        </w:rPr>
      </w:pPr>
      <w:r w:rsidRPr="00F90A29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>Международное непатентованное название:</w:t>
      </w:r>
    </w:p>
    <w:p w:rsidR="00F90A29" w:rsidRPr="00F90A29" w:rsidRDefault="00BD451C" w:rsidP="000A5EA4">
      <w:pPr>
        <w:spacing w:after="0" w:line="283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</w:t>
      </w:r>
      <w:r w:rsidR="00FE60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90A29" w:rsidRPr="00FE60DD" w:rsidRDefault="00F90A29" w:rsidP="000A5EA4">
      <w:pPr>
        <w:spacing w:after="0" w:line="283" w:lineRule="auto"/>
        <w:outlineLvl w:val="2"/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</w:pPr>
      <w:r w:rsidRPr="00F90A29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>Лекарственная форма:</w:t>
      </w:r>
    </w:p>
    <w:p w:rsidR="00F90A29" w:rsidRPr="00F90A29" w:rsidRDefault="00F90A29" w:rsidP="000A5EA4">
      <w:pPr>
        <w:spacing w:after="0" w:line="283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0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таблетки пролонгированного действия. </w:t>
      </w:r>
    </w:p>
    <w:p w:rsidR="00F90A29" w:rsidRPr="00FE60DD" w:rsidRDefault="00F90A29" w:rsidP="000A5EA4">
      <w:pPr>
        <w:spacing w:after="0" w:line="283" w:lineRule="auto"/>
        <w:outlineLvl w:val="2"/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</w:pPr>
      <w:r w:rsidRPr="00F90A29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>Состав:</w:t>
      </w:r>
    </w:p>
    <w:p w:rsidR="00F90A29" w:rsidRPr="00006BC3" w:rsidRDefault="00F90A29" w:rsidP="000A5EA4">
      <w:pPr>
        <w:spacing w:after="0" w:line="283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0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каждая таблетка пролонгированного действия содержит: </w:t>
      </w:r>
      <w:r w:rsidRPr="00F90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60D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Активное вещество:</w:t>
      </w:r>
      <w:r w:rsidRPr="00F90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67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алфузозина</w:t>
      </w:r>
      <w:proofErr w:type="spellEnd"/>
      <w:r w:rsidR="00967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гидрохлорид</w:t>
      </w:r>
      <w:r w:rsidRPr="00F90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67D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  <w:r w:rsidRPr="00F90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мг. </w:t>
      </w:r>
      <w:r w:rsidRPr="00F90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4631CC" w:rsidRPr="00FE60D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Вспомогательные вещества:</w:t>
      </w:r>
      <w:r w:rsidR="004631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лактоза безводная 77 мг, магния </w:t>
      </w:r>
      <w:proofErr w:type="spellStart"/>
      <w:r w:rsidR="004631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стеарат</w:t>
      </w:r>
      <w:proofErr w:type="spellEnd"/>
      <w:r w:rsidR="004631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2,5 мг, кремния диоксид коллоидный 3 мг, </w:t>
      </w:r>
      <w:proofErr w:type="spellStart"/>
      <w:r w:rsidR="004631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повидон</w:t>
      </w:r>
      <w:proofErr w:type="spellEnd"/>
      <w:r w:rsidR="004631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="004631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PVP</w:t>
      </w:r>
      <w:r w:rsidR="004631CC" w:rsidRPr="004631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4631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r w:rsidR="004631CC" w:rsidRPr="004631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30) 15 </w:t>
      </w:r>
      <w:r w:rsidR="004631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мг, тальк 2,5 мг, </w:t>
      </w:r>
      <w:proofErr w:type="spellStart"/>
      <w:r w:rsidR="004631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гипромеллоза</w:t>
      </w:r>
      <w:proofErr w:type="spellEnd"/>
      <w:r w:rsidR="004631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85 мг, </w:t>
      </w:r>
      <w:proofErr w:type="spellStart"/>
      <w:r w:rsidR="004631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гипролоза</w:t>
      </w:r>
      <w:proofErr w:type="spellEnd"/>
      <w:r w:rsidR="004631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155 мг.  </w:t>
      </w:r>
      <w:r w:rsidRPr="00F90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90A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Описание:</w:t>
      </w:r>
      <w:r w:rsidRPr="00F90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0A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4631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белого до почти белого цвета, круглые, двояковыпуклые табл</w:t>
      </w:r>
      <w:r w:rsidR="00A471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етки без оболочки с гравировкой </w:t>
      </w:r>
      <w:r w:rsidR="00A4718D" w:rsidRPr="00006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A4718D" w:rsidRPr="00006BC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RY</w:t>
      </w:r>
      <w:r w:rsidR="00A4718D" w:rsidRPr="00006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10» на одной из сторон</w:t>
      </w:r>
      <w:r w:rsidRPr="00006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F90A29" w:rsidRPr="00006BC3" w:rsidRDefault="00F90A29" w:rsidP="000A5EA4">
      <w:pPr>
        <w:spacing w:after="0" w:line="283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6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Фармакотерапев</w:t>
      </w:r>
      <w:r w:rsidR="00E838C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</w:t>
      </w:r>
      <w:r w:rsidRPr="00006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ическая группа:</w:t>
      </w:r>
      <w:r w:rsidRPr="00006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06BC3" w:rsidRPr="00006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Альфа-1-адреноблокатор</w:t>
      </w:r>
      <w:r w:rsidRPr="00006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F90A29" w:rsidRDefault="00F90A29" w:rsidP="000A5EA4">
      <w:pPr>
        <w:spacing w:after="0" w:line="283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6A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Код ATX:</w:t>
      </w:r>
      <w:r w:rsidRPr="00B4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46A8E" w:rsidRPr="00B46A8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</w:t>
      </w:r>
      <w:r w:rsidR="00B46A8E" w:rsidRPr="00B4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04</w:t>
      </w:r>
      <w:r w:rsidR="00B46A8E" w:rsidRPr="00B46A8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CA</w:t>
      </w:r>
      <w:r w:rsidR="00B46A8E" w:rsidRPr="00B4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01</w:t>
      </w:r>
      <w:r w:rsidRPr="00B4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838C6" w:rsidRPr="00B46A8E" w:rsidRDefault="00E838C6" w:rsidP="000A5EA4">
      <w:pPr>
        <w:spacing w:after="0" w:line="283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0A29" w:rsidRDefault="00F90A29" w:rsidP="00D71642">
      <w:pPr>
        <w:spacing w:after="100" w:line="283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8C6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 xml:space="preserve">Фармакологические свойства </w:t>
      </w:r>
      <w:r w:rsidRPr="00E838C6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br/>
      </w:r>
      <w:proofErr w:type="spellStart"/>
      <w:r w:rsidRPr="00D51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Фармакодинамика</w:t>
      </w:r>
      <w:proofErr w:type="spellEnd"/>
      <w:r w:rsidRPr="00D51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D51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51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B4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Алфузозин </w:t>
      </w:r>
      <w:r w:rsidR="002C46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является производным </w:t>
      </w:r>
      <w:proofErr w:type="spellStart"/>
      <w:r w:rsidR="002C46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хиназолина</w:t>
      </w:r>
      <w:proofErr w:type="spellEnd"/>
      <w:r w:rsidR="002C46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активным при приеме внутрь. Это избирательный антагонист постсинаптических альфа-1-адренорецепторов. Фармакологические испытания </w:t>
      </w:r>
      <w:r w:rsidR="002C462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</w:t>
      </w:r>
      <w:r w:rsidR="002C4620" w:rsidRPr="002C46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C462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vitro</w:t>
      </w:r>
      <w:r w:rsidR="002C4620" w:rsidRPr="002C46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C46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показали избирательность действия </w:t>
      </w:r>
      <w:proofErr w:type="spellStart"/>
      <w:r w:rsidR="002C46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алфузозина</w:t>
      </w:r>
      <w:proofErr w:type="spellEnd"/>
      <w:r w:rsidR="002C46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альфа-1-адренорецепторы, расположенные в предстательной железе, на дне мочевого пузыря и в предстательной части мочеиспускательного канала. В результате прямого воздействия на гладкую мускулатуру тканей предстательной железы, альфа-1-адреноблокаторы уменьшают сопротивление оттоку мочи. </w:t>
      </w:r>
    </w:p>
    <w:p w:rsidR="00D779A2" w:rsidRDefault="002C4620" w:rsidP="00E958BD">
      <w:pPr>
        <w:spacing w:after="10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Алфузозин </w:t>
      </w:r>
      <w:r w:rsidR="00D779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улучшает параметры мочеиспускания, снижая тонус уретры и сопротивляемость оттоку</w:t>
      </w:r>
      <w:r w:rsidR="00282A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</w:t>
      </w:r>
      <w:r w:rsidR="00D779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мочевого пузыря, облегчая опорожнение пузыря. Приемом </w:t>
      </w:r>
      <w:proofErr w:type="spellStart"/>
      <w:r w:rsidR="00D779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алфузозина</w:t>
      </w:r>
      <w:proofErr w:type="spellEnd"/>
      <w:r w:rsidR="00D779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больных с доброкачественной гиперплазией предстательной железы достигается: </w:t>
      </w:r>
    </w:p>
    <w:p w:rsidR="002C4620" w:rsidRDefault="00720158" w:rsidP="00E958BD">
      <w:pPr>
        <w:pStyle w:val="a7"/>
        <w:numPr>
          <w:ilvl w:val="0"/>
          <w:numId w:val="1"/>
        </w:numPr>
        <w:spacing w:after="10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="00D779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начительное увеличение максимальной скорости тока </w:t>
      </w:r>
      <w:r w:rsidR="00D779A2" w:rsidRPr="00D779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="00D779A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Qmax</w:t>
      </w:r>
      <w:proofErr w:type="spellEnd"/>
      <w:r w:rsidR="00D779A2" w:rsidRPr="00D779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r w:rsidR="00D779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среднем на 30% у больных с </w:t>
      </w:r>
      <w:proofErr w:type="spellStart"/>
      <w:r w:rsidR="00D779A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Qmax</w:t>
      </w:r>
      <w:proofErr w:type="spellEnd"/>
      <w:r w:rsidR="00D779A2" w:rsidRPr="00D779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D779A2" w:rsidRPr="00D779A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&lt;</w:t>
      </w:r>
      <w:r w:rsidR="00D779A2" w:rsidRPr="00D779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15</w:t>
      </w:r>
      <w:proofErr w:type="gramEnd"/>
      <w:r w:rsidR="00D779A2" w:rsidRPr="00D779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779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мл/с. Такое улучшение наблюдалось, начиная с первой дозы; </w:t>
      </w:r>
    </w:p>
    <w:p w:rsidR="00D779A2" w:rsidRDefault="00720158" w:rsidP="00E958BD">
      <w:pPr>
        <w:pStyle w:val="a7"/>
        <w:numPr>
          <w:ilvl w:val="0"/>
          <w:numId w:val="1"/>
        </w:numPr>
        <w:spacing w:after="10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="00D779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начительное снижение сопротивлени</w:t>
      </w:r>
      <w:r w:rsidR="00452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току мочи и увеличение объема выделяемой мочи</w:t>
      </w:r>
      <w:r w:rsidR="00A365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452F86" w:rsidRDefault="00720158" w:rsidP="00E958BD">
      <w:pPr>
        <w:pStyle w:val="a7"/>
        <w:numPr>
          <w:ilvl w:val="0"/>
          <w:numId w:val="1"/>
        </w:numPr>
        <w:spacing w:after="10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</w:t>
      </w:r>
      <w:r w:rsidR="00452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начительное снижение остаточного объема мочи</w:t>
      </w:r>
    </w:p>
    <w:p w:rsidR="00A365B2" w:rsidRDefault="00F90A29" w:rsidP="005B5A88">
      <w:pPr>
        <w:spacing w:after="0" w:line="283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D51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Фармакокинетика</w:t>
      </w:r>
      <w:proofErr w:type="spellEnd"/>
      <w:r w:rsidRPr="00D51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D51B1D" w:rsidRDefault="00F90A29" w:rsidP="005B5A88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1B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-всасывание:</w:t>
      </w:r>
      <w:r w:rsidRPr="00D51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51B1D" w:rsidRPr="00D51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среднее значение</w:t>
      </w:r>
      <w:r w:rsidR="00D51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51B1D" w:rsidRPr="00D51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относительной</w:t>
      </w:r>
      <w:r w:rsidR="00D51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D51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биодоступности</w:t>
      </w:r>
      <w:proofErr w:type="spellEnd"/>
      <w:r w:rsidR="00D51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составляет 104,4% по сравнению с формой немедленного высвобождения (2,5 мг дважды в день) у здоровых добровольцев среднего возраста, а максимальная концентрация в плазме достигается </w:t>
      </w:r>
      <w:r w:rsidR="005B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r w:rsidR="00D51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ерез 9 часов после приема </w:t>
      </w:r>
      <w:proofErr w:type="spellStart"/>
      <w:r w:rsidR="00D51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алфузозина</w:t>
      </w:r>
      <w:proofErr w:type="spellEnd"/>
      <w:r w:rsidR="00D51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 сравнению с 1 часом для формы немедленного высвобождения. </w:t>
      </w:r>
    </w:p>
    <w:p w:rsidR="002663CC" w:rsidRDefault="00D51B1D" w:rsidP="005B5A88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Период полувыведения </w:t>
      </w:r>
      <w:proofErr w:type="spellStart"/>
      <w:r w:rsidR="00464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алфузозина</w:t>
      </w:r>
      <w:proofErr w:type="spellEnd"/>
      <w:r w:rsidR="00464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составляет 9,1 часа. Исследования показали, что площадь под кривой «концентрация-время» при приеме </w:t>
      </w:r>
      <w:proofErr w:type="spellStart"/>
      <w:r w:rsidR="00464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алфузозина</w:t>
      </w:r>
      <w:proofErr w:type="spellEnd"/>
      <w:r w:rsidR="00464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 еды сопоставима с результатами при приеме </w:t>
      </w:r>
      <w:proofErr w:type="spellStart"/>
      <w:r w:rsidR="00464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алфузозина</w:t>
      </w:r>
      <w:proofErr w:type="spellEnd"/>
      <w:r w:rsidR="00464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еды, </w:t>
      </w:r>
      <w:proofErr w:type="gramStart"/>
      <w:r w:rsidR="00464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следовательно</w:t>
      </w:r>
      <w:proofErr w:type="gramEnd"/>
      <w:r w:rsidR="00464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прием пищи не влияет на фармакокинетический профиль препарата. По сравнению со здоровыми добровольцами среднего возраста у пожилых больных фармакокинетические параметры не увеличиваются.    </w:t>
      </w:r>
    </w:p>
    <w:p w:rsidR="002663CC" w:rsidRDefault="002663CC" w:rsidP="005B5A88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сравнению с лицами с нормальной функцией почек средние значения максимальной концентрации площади под кривой «концентрация-время» при приеме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 еды сопоставима с результатами при приеме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еды,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следовательно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прием пищи не влияет на фармакокинетический профиль препарата. По сравнению со здоровыми добровольцами среднего возраста у пожилых больных фармакокинетические параметры не увеличиваются. </w:t>
      </w:r>
    </w:p>
    <w:p w:rsidR="002663CC" w:rsidRDefault="002663CC" w:rsidP="005B5A88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сравнению с лицами с нормальной функцией почек средние значения максимальной концентрации площади под кривой «концентрация-время» у больных с почечной недостаточностью умеренно увеличены, без изменения периода полувыведения. Это изменение фармакокинетического профиля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считается обладающим клиническим значением, поэтому оно и не требует корректировки дозы. </w:t>
      </w:r>
    </w:p>
    <w:p w:rsidR="002663CC" w:rsidRDefault="002663CC" w:rsidP="005B5A88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3C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- метаболизм: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связывание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белками плазмы составляет около 90%. Алфузозин практически полностью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метаболизируется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печени. </w:t>
      </w:r>
    </w:p>
    <w:p w:rsidR="002663CC" w:rsidRDefault="002663CC" w:rsidP="005B5A88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3C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- выведение: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только 11%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неизменном виде обнаруживается в моче. Большинство метаболитов (которые не обладают активностью) выводится с калом (75-90%). </w:t>
      </w:r>
    </w:p>
    <w:p w:rsidR="00F00DDF" w:rsidRDefault="002663CC" w:rsidP="005B5A88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Фармакокинетический профиль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изменяется при хронической сердечной недостаточности. </w:t>
      </w:r>
    </w:p>
    <w:p w:rsidR="00F00DDF" w:rsidRDefault="00F00DDF" w:rsidP="000A5EA4">
      <w:pPr>
        <w:spacing w:after="0" w:line="283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00DDF" w:rsidRPr="00523492" w:rsidRDefault="00F00DDF" w:rsidP="00523492">
      <w:pPr>
        <w:spacing w:after="0" w:line="283" w:lineRule="auto"/>
        <w:outlineLvl w:val="2"/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</w:pPr>
      <w:r w:rsidRPr="00523492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 xml:space="preserve">Показания к применению: </w:t>
      </w:r>
    </w:p>
    <w:p w:rsidR="00F00DDF" w:rsidRPr="00550B59" w:rsidRDefault="00F00DDF" w:rsidP="00255C1D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Лечение функциональных нарушений мочеиспускания при доброкачественной гиперплазии предстательной железы. </w:t>
      </w:r>
      <w:r w:rsidR="00550B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качестве вспомогательного средства при использовании катетера при острой задержке мочи, связанной с доброкачественной гиперплазией предстательной железы.</w:t>
      </w:r>
    </w:p>
    <w:p w:rsidR="00F00DDF" w:rsidRDefault="00F00DDF" w:rsidP="000A5EA4">
      <w:pPr>
        <w:spacing w:after="0" w:line="283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00DDF" w:rsidRPr="00523492" w:rsidRDefault="00F00DDF" w:rsidP="00523492">
      <w:pPr>
        <w:spacing w:after="0" w:line="283" w:lineRule="auto"/>
        <w:outlineLvl w:val="2"/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</w:pPr>
      <w:r w:rsidRPr="00523492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 xml:space="preserve">Противопоказания: </w:t>
      </w:r>
    </w:p>
    <w:p w:rsidR="00F00DDF" w:rsidRDefault="00F00DDF" w:rsidP="000A5EA4">
      <w:pPr>
        <w:spacing w:after="0" w:line="283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Повышенная чувствительность к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и/или другим компонентам препарата. Ортостатическая гипотензия. Тяжелые нарушения функции печени. Тяжелая почечная недостаточность (клиренс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креатинина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0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30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мл/мин). </w:t>
      </w:r>
    </w:p>
    <w:p w:rsidR="00F00DDF" w:rsidRDefault="00F00DDF" w:rsidP="000A5EA4">
      <w:pPr>
        <w:spacing w:after="0" w:line="283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Врожденный дефицит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лактазы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непереносимость, лактозы,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глюкозо-галактозная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мальабсорбция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71325A" w:rsidRDefault="0071325A" w:rsidP="000A5EA4">
      <w:pPr>
        <w:spacing w:after="0" w:line="283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71325A" w:rsidRPr="00523492" w:rsidRDefault="00F00DDF" w:rsidP="00523492">
      <w:pPr>
        <w:spacing w:after="0" w:line="283" w:lineRule="auto"/>
        <w:outlineLvl w:val="2"/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</w:pPr>
      <w:r w:rsidRPr="00523492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 xml:space="preserve">Способ применения и дозы: </w:t>
      </w:r>
    </w:p>
    <w:p w:rsidR="00F00DDF" w:rsidRDefault="00F00DDF" w:rsidP="000A5EA4">
      <w:pPr>
        <w:spacing w:after="0" w:line="283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Внутрь. Рекомендованная доза составляет: 1 таблетка пролонгированного действия 10 мг ежедневно после еды. Таблетки должны приниматься целиком. </w:t>
      </w:r>
    </w:p>
    <w:p w:rsidR="0071325A" w:rsidRDefault="0071325A" w:rsidP="000A5EA4">
      <w:pPr>
        <w:spacing w:after="0" w:line="283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325A" w:rsidRPr="00523492" w:rsidRDefault="00F00DDF" w:rsidP="00523492">
      <w:pPr>
        <w:spacing w:after="0" w:line="283" w:lineRule="auto"/>
        <w:outlineLvl w:val="2"/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</w:pPr>
      <w:r w:rsidRPr="00523492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 xml:space="preserve">Побочные эффекты: </w:t>
      </w:r>
    </w:p>
    <w:p w:rsidR="00FF6753" w:rsidRDefault="00F00DDF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Указанные ниже нежелательные</w:t>
      </w:r>
      <w:r w:rsidR="00FF67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эффекты даются в соответствии со следующими градациями частоты их возникновения: </w:t>
      </w:r>
    </w:p>
    <w:p w:rsidR="00FF6753" w:rsidRDefault="00FF6753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6753" w:rsidRDefault="00FF6753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часто: (</w:t>
      </w:r>
      <w:r w:rsidRPr="00FF675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&gt;</w:t>
      </w:r>
      <w:r w:rsidRPr="00FF67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B759B" w:rsidRPr="005B75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1:</w:t>
      </w:r>
      <w:r w:rsidRPr="00FF67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</w:p>
    <w:p w:rsidR="00FF6753" w:rsidRDefault="00FF6753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Часто: (</w:t>
      </w:r>
      <w:r w:rsidRPr="00FF675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&gt;</w:t>
      </w:r>
      <w:r w:rsidRPr="00FF67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B759B" w:rsidRPr="005B75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1:100</w:t>
      </w:r>
      <w:r w:rsidRPr="00FF67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B75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FF67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F67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&lt; </w:t>
      </w:r>
      <w:r w:rsidR="005B75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1:</w:t>
      </w:r>
      <w:r w:rsidRPr="00FF67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  <w:proofErr w:type="gramEnd"/>
      <w:r w:rsidRPr="00FF67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</w:p>
    <w:p w:rsidR="00FF6753" w:rsidRDefault="00FF6753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часто: (</w:t>
      </w:r>
      <w:r w:rsidRPr="00FF675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&gt;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B75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1:1000 и</w:t>
      </w:r>
      <w:r w:rsidRPr="009B3B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B3B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</w:t>
      </w:r>
      <w:r w:rsidR="005B75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1:100</w:t>
      </w:r>
      <w:proofErr w:type="gramEnd"/>
      <w:r w:rsidRPr="009B3B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</w:p>
    <w:p w:rsidR="00FF6753" w:rsidRDefault="00FF6753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Редко: (</w:t>
      </w:r>
      <w:r w:rsidR="000103E2" w:rsidRPr="00FF675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&gt;</w:t>
      </w:r>
      <w:r w:rsidR="000103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1:10000 и </w:t>
      </w:r>
      <w:proofErr w:type="gramStart"/>
      <w:r w:rsidR="000103E2" w:rsidRPr="000103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103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1:1000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); </w:t>
      </w:r>
    </w:p>
    <w:p w:rsidR="009B3B92" w:rsidRDefault="00FF6753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Очень редко: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9B3B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</w:t>
      </w:r>
      <w:r w:rsidR="000103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1:10000</w:t>
      </w:r>
      <w:proofErr w:type="gramEnd"/>
      <w:r w:rsidR="009B3B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</w:p>
    <w:p w:rsidR="009B3B92" w:rsidRDefault="009B3B92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30CF2" w:rsidRDefault="009B3B92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F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lastRenderedPageBreak/>
        <w:t>Со стороны ЦНС и психики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часто – слабость, ощущение общего дискомфорта, головная боль; нечасто – сонливость, головокружение, ишемия головного мозга у пациенто</w:t>
      </w:r>
      <w:r w:rsidR="00530C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 ишемической болезнью мозга. </w:t>
      </w:r>
    </w:p>
    <w:p w:rsidR="00346DBC" w:rsidRDefault="00346DBC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30CF2" w:rsidRDefault="00530CF2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F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Со стороны сердечно-сосудистой системы: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нечасто – тахикардия, сердцебиение,</w:t>
      </w:r>
      <w:r w:rsidR="00E64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обморок, ортостатическая гипотензия; очень редко – стенокардия у пациентов с ИБС, мерцание предсердий. </w:t>
      </w:r>
    </w:p>
    <w:p w:rsidR="00E641EA" w:rsidRDefault="00E641EA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641EA" w:rsidRDefault="00E641EA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Со стороны органа зрения: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нечасто – нарушение зрения, частота неизвестна –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интраоперационный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синдром вялой радужки. </w:t>
      </w:r>
    </w:p>
    <w:p w:rsidR="00E641EA" w:rsidRDefault="00E641EA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30CF2" w:rsidRDefault="00530CF2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F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Со стороны пищеварительной системы: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часто – тошнота, боль в животе, сухость во рту; нечасто – диарея; очень редко – повреждение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гепатоцитов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заболевания печени с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холестазом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30CF2" w:rsidRDefault="00530CF2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30CF2" w:rsidRDefault="00530CF2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CF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Кожные и аллергические реакции: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нечасто – сыпь, зуд; очень редко – крапивница, ангионевротический отек. </w:t>
      </w:r>
    </w:p>
    <w:p w:rsidR="00530CF2" w:rsidRDefault="00530CF2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30CF2" w:rsidRDefault="00530CF2" w:rsidP="009B3B92">
      <w:pPr>
        <w:spacing w:after="0" w:line="283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30CF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Прочие: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часто – астения; нечасто – гиперемия кожи, отеки, боль в груди; очень редко –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приапизм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30CF2" w:rsidRDefault="00530CF2" w:rsidP="009B3B92">
      <w:pPr>
        <w:spacing w:after="0" w:line="283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47C33" w:rsidRPr="00523492" w:rsidRDefault="00C31C0F" w:rsidP="00523492">
      <w:pPr>
        <w:spacing w:after="0" w:line="283" w:lineRule="auto"/>
        <w:outlineLvl w:val="2"/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</w:pPr>
      <w:r w:rsidRPr="00523492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>Передозировка:</w:t>
      </w:r>
      <w:r w:rsidR="00C47C33" w:rsidRPr="00523492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 xml:space="preserve"> </w:t>
      </w:r>
    </w:p>
    <w:p w:rsidR="00C47C33" w:rsidRDefault="00C47C33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Симптомы: </w:t>
      </w:r>
      <w:r w:rsidRPr="00C47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снижение артериального давления.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B7671" w:rsidRDefault="00C47C33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передозировки больн</w:t>
      </w:r>
      <w:r w:rsidR="004B7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ой должен быть госпитализирован, находиться в положении «лежа». Следует проводить симптоматическое лечение гипотензии (введение сосудосуживающих средств и </w:t>
      </w:r>
      <w:proofErr w:type="spellStart"/>
      <w:r w:rsidR="004B7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плазмозаменителей</w:t>
      </w:r>
      <w:proofErr w:type="spellEnd"/>
      <w:r w:rsidR="004B7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(для увеличения объема циркулирующей крови)). Диализ неэффективен из-за высокой степени связывания </w:t>
      </w:r>
      <w:proofErr w:type="spellStart"/>
      <w:r w:rsidR="004B7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алфузозина</w:t>
      </w:r>
      <w:proofErr w:type="spellEnd"/>
      <w:r w:rsidR="004B7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белками. </w:t>
      </w:r>
    </w:p>
    <w:p w:rsidR="004B7671" w:rsidRDefault="004B7671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7671" w:rsidRPr="00523492" w:rsidRDefault="004B7671" w:rsidP="00523492">
      <w:pPr>
        <w:spacing w:after="0" w:line="283" w:lineRule="auto"/>
        <w:outlineLvl w:val="2"/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</w:pPr>
      <w:r w:rsidRPr="00523492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 xml:space="preserve">Взаимодействие с другими лекарственными препаратами: </w:t>
      </w:r>
    </w:p>
    <w:p w:rsidR="004B7671" w:rsidRDefault="004B7671" w:rsidP="009B3B92">
      <w:pPr>
        <w:spacing w:after="0" w:line="283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proofErr w:type="spellStart"/>
      <w:r w:rsidRPr="004B767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Нерекомендованные</w:t>
      </w:r>
      <w:proofErr w:type="spellEnd"/>
      <w:r w:rsidRPr="004B767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комбинации: </w:t>
      </w:r>
    </w:p>
    <w:p w:rsidR="00815447" w:rsidRDefault="004B7671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блокаторами альфа-1-рецепторов</w:t>
      </w:r>
      <w:r w:rsidR="008154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(празозин, </w:t>
      </w:r>
      <w:proofErr w:type="spellStart"/>
      <w:r w:rsidR="008154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урапидил</w:t>
      </w:r>
      <w:proofErr w:type="spellEnd"/>
      <w:r w:rsidR="008154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8154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миноксидил</w:t>
      </w:r>
      <w:proofErr w:type="spellEnd"/>
      <w:r w:rsidR="008154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): усиление гипотензивного эффекта, риск тяжелой постуральной гипотензии. </w:t>
      </w:r>
    </w:p>
    <w:p w:rsidR="00815447" w:rsidRDefault="00815447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15447" w:rsidRPr="00815447" w:rsidRDefault="00815447" w:rsidP="009B3B92">
      <w:pPr>
        <w:spacing w:after="0" w:line="283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815447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Комбинации, которые следует принимать во внимание:</w:t>
      </w:r>
    </w:p>
    <w:p w:rsidR="00815447" w:rsidRDefault="00815447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гипотензивными препаратами: усиление гипотензивного эффекта и риск постуральной гипотензии (аддитивное действие). С ингибиторами изофермента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CYP</w:t>
      </w:r>
      <w:r w:rsidRPr="008154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8154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кетоконазол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итраконазол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ритонавир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): повышение концентрации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алфузозина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крови. </w:t>
      </w:r>
    </w:p>
    <w:p w:rsidR="00815447" w:rsidRDefault="00815447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15447" w:rsidRPr="00523492" w:rsidRDefault="00815447" w:rsidP="00523492">
      <w:pPr>
        <w:spacing w:after="0" w:line="283" w:lineRule="auto"/>
        <w:outlineLvl w:val="2"/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</w:pPr>
      <w:r w:rsidRPr="00523492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 xml:space="preserve">Особые указания: </w:t>
      </w:r>
    </w:p>
    <w:p w:rsidR="00815447" w:rsidRDefault="00815447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некоторых </w:t>
      </w:r>
      <w:r w:rsidR="005D3D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особенности у получающих лечение</w:t>
      </w:r>
      <w:r w:rsidR="005D3D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5D3D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антигипертензивными</w:t>
      </w:r>
      <w:proofErr w:type="spellEnd"/>
      <w:r w:rsidR="005D3D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препаратами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течение нескольких часов после приема альфа-1-адреноблокатор</w:t>
      </w:r>
      <w:r w:rsidR="005D3D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9767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spellStart"/>
      <w:r w:rsidR="009767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="009767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препарата Алфупрост МР,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может развиться постуральная гипотензия, с симптомами или без них (головокружение, усталость, потоотделение). В таких случаях </w:t>
      </w:r>
      <w:r w:rsidR="00F31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должен </w:t>
      </w:r>
      <w:r w:rsidR="00F31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оставаться в положении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лежа до полного исчезновения симптомов. </w:t>
      </w:r>
      <w:r w:rsidR="00F315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Подобные симптомы обычно бывают временными и часто встречаются в начале лечения. Пациента следует предупредить о возможности таких явлений. </w:t>
      </w:r>
    </w:p>
    <w:p w:rsidR="00F3158D" w:rsidRDefault="00F3158D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771" w:rsidRDefault="00F3158D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Пациентам</w:t>
      </w:r>
      <w:r w:rsidR="008154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коронарной недостаточностью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</w:t>
      </w:r>
      <w:r w:rsidR="008154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продолжать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антиангинальную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терапию в период лечения препаратом Алфупрост</w:t>
      </w:r>
      <w:r w:rsidRPr="00F3158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®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МР.  </w:t>
      </w:r>
      <w:r w:rsidR="000D5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появлении приступов стенокардии или ухудшении клинического течения стенокардии лечение препаратом Алфупрост</w:t>
      </w:r>
      <w:r w:rsidR="000D5D70" w:rsidRPr="00F3158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®</w:t>
      </w:r>
      <w:r w:rsidR="000D5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МР следует прекратить. </w:t>
      </w:r>
    </w:p>
    <w:p w:rsidR="00825771" w:rsidRDefault="00825771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Больных следует предупредить о том, что таблетки следует проглатывать целиком. Таблетки нельзя раскусывать, разжевывать, измельчать или растирать в порошок. Эти действия могут привести к несоответствующему высвобождению и всасыванию действующего вещества и, соответственно, к побочным явлениям, которые могут развиться. </w:t>
      </w:r>
    </w:p>
    <w:p w:rsidR="00825771" w:rsidRDefault="00825771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Следует соблюдать осторожность при применении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прапарата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Алфупрост</w:t>
      </w:r>
      <w:r w:rsidRPr="00F3158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®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МР пациентам с врожденным или приобретенным удлинением интервала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QT</w:t>
      </w:r>
      <w:r w:rsidRPr="008257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или получающим лекарственные препараты, способные удлинять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QT</w:t>
      </w:r>
      <w:r w:rsidRPr="008257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0D5D70" w:rsidRDefault="00825771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Во время проведения офтальмологических операций по поводу катаракты у некоторых пациентов, принимающих в это время или принимавших альфа1-адреноблокаторы, наблюдалось развитие синдрома вялой радужки (вариант синдрома узкого зрачка). Хотя риск развития такого осложнения при приеме препарата представляется очень низким, перед проведением операции по поводу катаракты хирург-офтальмолог должен быть информирован о том, что пациент принимает альфа1-адреноблокаторы или принимал их ранее, так как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интраоперационный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синдром вялой радужки может увеличивать количество осложнений при этом оперативном вмешательстве. Офтальмологи должны быть готовы к возможному изменению методики оперативного вмешательства.  </w:t>
      </w:r>
      <w:r w:rsidR="000D5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</w:p>
    <w:p w:rsidR="000D5D70" w:rsidRDefault="000D5D70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771" w:rsidRPr="00825771" w:rsidRDefault="00825771" w:rsidP="00825771">
      <w:pPr>
        <w:spacing w:after="0" w:line="283" w:lineRule="auto"/>
        <w:outlineLvl w:val="2"/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</w:pPr>
      <w:r w:rsidRPr="00825771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>Влияние на способность управлять транспортом и механизмами</w:t>
      </w:r>
    </w:p>
    <w:p w:rsidR="000D5D70" w:rsidRDefault="000D5D70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2C4F" w:rsidRDefault="003634E3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время применения препарата Алфупрост</w:t>
      </w:r>
      <w:r w:rsidRPr="00F3158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®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МР, особенно в начале лечения, могут наблюдаться такие явления, как головокружение, нарушение зрения и астения. Это следует принимать во внимание при выполнении потенциально опасных видов деятельности, требующих особого внимания и быстрых реакций (управление автомобилем и другими транспортными средствами, работа с движущимися механизмами, работа диспетчера и оператора и т.п.). </w:t>
      </w:r>
    </w:p>
    <w:p w:rsidR="007D2C4F" w:rsidRDefault="007D2C4F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2C4F" w:rsidRPr="00523492" w:rsidRDefault="007D2C4F" w:rsidP="00523492">
      <w:pPr>
        <w:spacing w:after="0" w:line="283" w:lineRule="auto"/>
        <w:outlineLvl w:val="2"/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</w:pPr>
      <w:r w:rsidRPr="00523492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 xml:space="preserve">Форма выпуска: </w:t>
      </w:r>
    </w:p>
    <w:p w:rsidR="007D2C4F" w:rsidRDefault="007D2C4F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Таблетки пролонгированного действия 10 мг. </w:t>
      </w:r>
    </w:p>
    <w:p w:rsidR="007D2C4F" w:rsidRDefault="007D2C4F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 таблеток в блистер из алюминиевой фольги, ПВХ 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аклара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 1, 2, 3 и 6 блистеров вместе с инструкцией по применению помещают в пачку картонную. </w:t>
      </w:r>
    </w:p>
    <w:p w:rsidR="007D2C4F" w:rsidRDefault="007D2C4F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05A6" w:rsidRPr="00523492" w:rsidRDefault="007D2C4F" w:rsidP="00523492">
      <w:pPr>
        <w:spacing w:after="0" w:line="283" w:lineRule="auto"/>
        <w:outlineLvl w:val="2"/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</w:pPr>
      <w:r w:rsidRPr="00523492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>Хранение:</w:t>
      </w:r>
      <w:r w:rsidR="002205A6" w:rsidRPr="00523492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 xml:space="preserve"> </w:t>
      </w:r>
    </w:p>
    <w:p w:rsidR="002205A6" w:rsidRDefault="002205A6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сухом, защищенном от света месте, при температуре не выше 25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t>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С. </w:t>
      </w:r>
    </w:p>
    <w:p w:rsidR="002205A6" w:rsidRDefault="002205A6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Хранить в недоступном для детей месте. </w:t>
      </w:r>
    </w:p>
    <w:p w:rsidR="002205A6" w:rsidRDefault="002205A6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3492" w:rsidRDefault="00523492" w:rsidP="00523492">
      <w:pPr>
        <w:spacing w:after="0" w:line="283" w:lineRule="auto"/>
        <w:outlineLvl w:val="2"/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</w:pPr>
    </w:p>
    <w:p w:rsidR="002205A6" w:rsidRPr="00523492" w:rsidRDefault="002205A6" w:rsidP="00523492">
      <w:pPr>
        <w:spacing w:after="0" w:line="283" w:lineRule="auto"/>
        <w:outlineLvl w:val="2"/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</w:pPr>
      <w:r w:rsidRPr="00523492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 xml:space="preserve">Срок годности: </w:t>
      </w:r>
    </w:p>
    <w:p w:rsidR="002205A6" w:rsidRDefault="002205A6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года. </w:t>
      </w:r>
    </w:p>
    <w:p w:rsidR="00255056" w:rsidRDefault="002205A6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применять после истечения срока годности.</w:t>
      </w:r>
    </w:p>
    <w:p w:rsidR="007D2C4F" w:rsidRDefault="002205A6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D2C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66718" w:rsidRDefault="00F66718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5056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>Условия отпуска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по рецепту. </w:t>
      </w:r>
    </w:p>
    <w:p w:rsidR="00F66718" w:rsidRDefault="00F66718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718" w:rsidRPr="00523492" w:rsidRDefault="00F66718" w:rsidP="00523492">
      <w:pPr>
        <w:spacing w:after="0" w:line="283" w:lineRule="auto"/>
        <w:outlineLvl w:val="2"/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</w:pPr>
      <w:r w:rsidRPr="00523492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 xml:space="preserve">Владелец регистрационного удостоверения: </w:t>
      </w:r>
    </w:p>
    <w:p w:rsidR="00F66718" w:rsidRDefault="003634E3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Сан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Фармасьютикал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Индастриз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Лтд. </w:t>
      </w:r>
    </w:p>
    <w:p w:rsidR="003634E3" w:rsidRDefault="003634E3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Сан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Хауз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Плот № 201 Б/1, Вестерн Экспресс Хайвэй,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Горегаон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Мумбаи – 400063,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Махараштра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Индия. </w:t>
      </w:r>
    </w:p>
    <w:p w:rsidR="003634E3" w:rsidRDefault="003634E3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34E3" w:rsidRDefault="003634E3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Sun Pharmaceutical Industries Ltd., </w:t>
      </w:r>
    </w:p>
    <w:p w:rsidR="003634E3" w:rsidRPr="003634E3" w:rsidRDefault="003634E3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Sun House, Plot </w:t>
      </w:r>
      <w:r w:rsidRPr="00550B5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№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201 B/1, Western </w:t>
      </w:r>
    </w:p>
    <w:p w:rsidR="00F66718" w:rsidRPr="003634E3" w:rsidRDefault="00F66718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F66718" w:rsidRPr="00523492" w:rsidRDefault="00F66718" w:rsidP="00523492">
      <w:pPr>
        <w:spacing w:after="0" w:line="283" w:lineRule="auto"/>
        <w:outlineLvl w:val="2"/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</w:pPr>
      <w:r w:rsidRPr="00523492">
        <w:rPr>
          <w:rFonts w:ascii="Verdana" w:eastAsia="Times New Roman" w:hAnsi="Verdana" w:cs="Arial"/>
          <w:b/>
          <w:bCs/>
          <w:color w:val="3B3A2C"/>
          <w:sz w:val="24"/>
          <w:szCs w:val="24"/>
          <w:lang w:eastAsia="ru-RU"/>
        </w:rPr>
        <w:t xml:space="preserve">Производитель: </w:t>
      </w:r>
    </w:p>
    <w:p w:rsidR="00F66718" w:rsidRPr="00D71642" w:rsidRDefault="00F66718" w:rsidP="009B3B92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Ранбакси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Лабораториз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Лимитед,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Паонта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Сахиб,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Сирмур</w:t>
      </w:r>
      <w:proofErr w:type="spellEnd"/>
      <w:r w:rsidRPr="00D716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– 173 025,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Химачал</w:t>
      </w:r>
      <w:proofErr w:type="spellEnd"/>
      <w:r w:rsidRPr="00D716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Прадеш</w:t>
      </w:r>
      <w:proofErr w:type="spellEnd"/>
      <w:r w:rsidRPr="00D716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Индия</w:t>
      </w:r>
      <w:r w:rsidRPr="00D7164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</w:t>
      </w:r>
    </w:p>
    <w:p w:rsidR="005A5D93" w:rsidRDefault="005A5D93" w:rsidP="005A5D93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A5D9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Ranbaxy Laboratories Limited, </w:t>
      </w:r>
      <w:proofErr w:type="spellStart"/>
      <w:r w:rsidRPr="005A5D9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Paonta</w:t>
      </w:r>
      <w:proofErr w:type="spellEnd"/>
      <w:r w:rsidRPr="005A5D9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Sahib, Dist. </w:t>
      </w:r>
      <w:proofErr w:type="spellStart"/>
      <w:r w:rsidRPr="005A5D9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Sirmour</w:t>
      </w:r>
      <w:proofErr w:type="spellEnd"/>
      <w:r w:rsidRPr="005A5D9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– 173 025, Himachal Pradesh, India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</w:t>
      </w:r>
    </w:p>
    <w:p w:rsidR="005A5D93" w:rsidRPr="005F6ADE" w:rsidRDefault="005A5D93" w:rsidP="005A5D93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Претензии потребителей направлять в представительст</w:t>
      </w:r>
      <w:r w:rsidR="005F6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 компании «Сан </w:t>
      </w:r>
      <w:proofErr w:type="spellStart"/>
      <w:r w:rsidR="005F6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Фармасьютикал</w:t>
      </w:r>
      <w:proofErr w:type="spellEnd"/>
      <w:r w:rsidR="005F6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5F6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Индастриз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Лимитед</w:t>
      </w:r>
      <w:r w:rsidR="005F6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(Индия) по адресу: 107023, г. Москва, ул. Электрозаводская 27, стр. 8 офисы 29</w:t>
      </w:r>
      <w:bookmarkStart w:id="0" w:name="_GoBack"/>
      <w:bookmarkEnd w:id="0"/>
      <w:r w:rsidR="005F6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,30</w:t>
      </w:r>
      <w:r w:rsidR="005234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Тел.: (495) 234</w:t>
      </w:r>
      <w:r w:rsidR="005F6A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-56-11/15, факс (495) 234-56-19</w:t>
      </w:r>
      <w:r w:rsidR="005F6AD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;</w:t>
      </w:r>
      <w:r w:rsidR="005234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6" w:history="1">
        <w:r w:rsidR="005F6ADE" w:rsidRPr="00EE6A9E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www.sunpharma.com</w:t>
        </w:r>
      </w:hyperlink>
      <w:r w:rsidR="005F6AD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5A5D93" w:rsidRPr="005A5D93" w:rsidRDefault="005A5D93" w:rsidP="005A5D93">
      <w:pPr>
        <w:spacing w:after="0" w:line="283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51B1D" w:rsidRPr="005A5D93" w:rsidRDefault="00C31C0F" w:rsidP="005A5D93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5D9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D51B1D" w:rsidRPr="005A5D9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                                  </w:t>
      </w:r>
    </w:p>
    <w:p w:rsidR="005A5D93" w:rsidRPr="005A5D93" w:rsidRDefault="005A5D93" w:rsidP="005A5D93">
      <w:pPr>
        <w:spacing w:after="0" w:line="28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29D4" w:rsidRPr="005F6ADE" w:rsidRDefault="008E29D4" w:rsidP="000A5EA4">
      <w:pPr>
        <w:spacing w:line="283" w:lineRule="auto"/>
      </w:pPr>
    </w:p>
    <w:sectPr w:rsidR="008E29D4" w:rsidRPr="005F6ADE" w:rsidSect="00F90A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568E"/>
    <w:multiLevelType w:val="hybridMultilevel"/>
    <w:tmpl w:val="94E49D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29"/>
    <w:rsid w:val="00006BC3"/>
    <w:rsid w:val="000103E2"/>
    <w:rsid w:val="000A5EA4"/>
    <w:rsid w:val="000D5D70"/>
    <w:rsid w:val="001125FF"/>
    <w:rsid w:val="002205A6"/>
    <w:rsid w:val="00255056"/>
    <w:rsid w:val="00255C1D"/>
    <w:rsid w:val="002663CC"/>
    <w:rsid w:val="00282A19"/>
    <w:rsid w:val="002C4620"/>
    <w:rsid w:val="00323A83"/>
    <w:rsid w:val="00346DBC"/>
    <w:rsid w:val="003634E3"/>
    <w:rsid w:val="003909B1"/>
    <w:rsid w:val="00452F86"/>
    <w:rsid w:val="004631CC"/>
    <w:rsid w:val="00464B60"/>
    <w:rsid w:val="00494FDD"/>
    <w:rsid w:val="004B7671"/>
    <w:rsid w:val="00523492"/>
    <w:rsid w:val="00530CF2"/>
    <w:rsid w:val="00550B59"/>
    <w:rsid w:val="00580309"/>
    <w:rsid w:val="005A5D93"/>
    <w:rsid w:val="005B5A88"/>
    <w:rsid w:val="005B5FD3"/>
    <w:rsid w:val="005B759B"/>
    <w:rsid w:val="005D3DCE"/>
    <w:rsid w:val="005F6ADE"/>
    <w:rsid w:val="0071325A"/>
    <w:rsid w:val="00720158"/>
    <w:rsid w:val="00735E28"/>
    <w:rsid w:val="00742B2D"/>
    <w:rsid w:val="007D2C4F"/>
    <w:rsid w:val="00815447"/>
    <w:rsid w:val="00825771"/>
    <w:rsid w:val="008B61D9"/>
    <w:rsid w:val="008E29D4"/>
    <w:rsid w:val="00967D71"/>
    <w:rsid w:val="0097672B"/>
    <w:rsid w:val="00997CBA"/>
    <w:rsid w:val="009B3B92"/>
    <w:rsid w:val="00A365B2"/>
    <w:rsid w:val="00A4718D"/>
    <w:rsid w:val="00B14963"/>
    <w:rsid w:val="00B46A8E"/>
    <w:rsid w:val="00BD451C"/>
    <w:rsid w:val="00C31C0F"/>
    <w:rsid w:val="00C47C33"/>
    <w:rsid w:val="00C84348"/>
    <w:rsid w:val="00D174FD"/>
    <w:rsid w:val="00D51B1D"/>
    <w:rsid w:val="00D71642"/>
    <w:rsid w:val="00D779A2"/>
    <w:rsid w:val="00E641EA"/>
    <w:rsid w:val="00E838C6"/>
    <w:rsid w:val="00E958BD"/>
    <w:rsid w:val="00F00DDF"/>
    <w:rsid w:val="00F3158D"/>
    <w:rsid w:val="00F66718"/>
    <w:rsid w:val="00F90A29"/>
    <w:rsid w:val="00FE13D6"/>
    <w:rsid w:val="00FE60DD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35022-A655-471F-B29E-C2F154A0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A29"/>
    <w:pPr>
      <w:spacing w:after="0" w:line="240" w:lineRule="auto"/>
      <w:outlineLvl w:val="0"/>
    </w:pPr>
    <w:rPr>
      <w:rFonts w:ascii="Verdana" w:eastAsia="Times New Roman" w:hAnsi="Verdana" w:cs="Times New Roman"/>
      <w:color w:val="3B3A2C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0A29"/>
    <w:pPr>
      <w:spacing w:after="0" w:line="240" w:lineRule="auto"/>
      <w:outlineLvl w:val="2"/>
    </w:pPr>
    <w:rPr>
      <w:rFonts w:ascii="Verdana" w:eastAsia="Times New Roman" w:hAnsi="Verdana" w:cs="Times New Roman"/>
      <w:color w:val="3B3A2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A29"/>
    <w:rPr>
      <w:rFonts w:ascii="Verdana" w:eastAsia="Times New Roman" w:hAnsi="Verdana" w:cs="Times New Roman"/>
      <w:color w:val="3B3A2C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A29"/>
    <w:rPr>
      <w:rFonts w:ascii="Verdana" w:eastAsia="Times New Roman" w:hAnsi="Verdana" w:cs="Times New Roman"/>
      <w:color w:val="3B3A2C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0A29"/>
    <w:rPr>
      <w:color w:val="0DAF2E"/>
      <w:u w:val="single"/>
    </w:rPr>
  </w:style>
  <w:style w:type="paragraph" w:styleId="a4">
    <w:name w:val="Normal (Web)"/>
    <w:basedOn w:val="a"/>
    <w:uiPriority w:val="99"/>
    <w:unhideWhenUsed/>
    <w:rsid w:val="00F9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A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6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pharm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Popova</dc:creator>
  <cp:lastModifiedBy>Aleksey Tsaryuk</cp:lastModifiedBy>
  <cp:revision>2</cp:revision>
  <cp:lastPrinted>2015-04-21T16:06:00Z</cp:lastPrinted>
  <dcterms:created xsi:type="dcterms:W3CDTF">2020-04-13T06:37:00Z</dcterms:created>
  <dcterms:modified xsi:type="dcterms:W3CDTF">2020-04-13T06:37:00Z</dcterms:modified>
</cp:coreProperties>
</file>